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Załącznik nr 1a do Regulaminu rekrutacji i uczestnictwa w projekcie „Poprawa dostępu do usług społecznych wspierających rodziny i rodzinną pieczę zastępczą na terenie MOF Poznania – EDYCJA III”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Informacja dotycząca przetwarzania danych osobowych dla wszystkich osób zaangażowanych w projekty realizowane w ramach FEW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Województwo Wielkopolskie z siedzibą Urzędu Marszałkowskiego Województwa Wielkopolskiego w Poznaniu przy al. Niepodległości 34, 61-714 Poznań, e-mail: kancelaria@umww.pl, fax 61 626 69 69, adres skrytki urzędu na platformie ePUAP: /umarszwlkp/SkrytkaESP. 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 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Państwa dane osobowe przetwarzamy w związku z wypełnieniem obowiązku prawnego ciążącego na administratorze, który wynika z ustawy wdrożeniowej 2021-2027*, rozporządzeń PEiR UE 2021/1060, 2021/1056, 2021/1057** i innych powiązanych oraz ustawy o finansach publicznych i ustawy o narodowym zasobie archiwalnym i archiwach. 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sprawach związanych z przetwarzaniem danych osobowych można kontaktować się z Inspektorem ochrony danych osobowych listownie pod adresem administratora danych, lub elektronicznie poprzez skrytkę ePUAP: /umarszwlkp/SkrytkaESP lub e-mail: inspektor.ochrony@umww.pl. 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Państwa dane osobowe będą przetwarzane do czasu rozliczenia Programu Fundusze Europejskie dla Wielkopolski 2021-2027 oraz upływu okresu archiwizacji dokumentacji związanej z tym programem. 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obowiązkowych jest warunkiem ustawowym a ich niepodanie skutkuje brakiem możliwości udziału w projekcie. 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Przysługuje Państwu prawo do usunięcia danych osobowych, o ile Państwa dane osobowe są przetwarzane na podstawie wyrażonej zgody, lub wynika to z wymogu prawa, lub gdy dane te są już niepotrzebne do przetwarzania danych. 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 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Przysługuje Państwu prawo do przenoszenia danych, o ile Państwa dane osobowe są przetwarzane na podstawie wyrażonej zgody lub są niezbędne do zawarcia umowy oraz gdy dane te są przetwarzane w sposób zautomatyzowany. 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Przysługuje Państwu prawo do dostępu do danych osobowych, ich sprostowania lub ograniczenia przetwarzania. 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Przysługuje Państwu prawo do wniesienia sprzeciwu wobec przetwarzania w związku z Państwa sytuacją szczególną o ile przetwarzanie Państwa danych osobowych jest niezbędne do zrealizowania zadania w interesie publicznym lub sprawowania władzy publicznej. 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Przysługuje Państwu prawo wniesienia skargi do organu nadzorczego tj. Prezesa Urzędu Ochrony Danych Osobowych o ile uważają Państwo, iż przetwarzanie Państwa danych osobowych odbywa się w sposób niezgodny z prawem. 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Państwa dane osobowe będą ujawniane: </w:t>
      </w:r>
    </w:p>
    <w:p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podmiotom świadczącym usługi na rzecz Województwa Wielkopolskiego w zakresie serwisu i wsparcia systemów informatycznych, utylizacji dokumentacji niearchiwalnej, przekazywania przesyłek pocztowych, lub podmiotom dokonującym badań, kontroli, ewaluacji na zlecenie Województwa Wielkopolskiego w związku z realizacją programu Fundusze Europejskie dla Wielkopolski na lata 2021-2027; </w:t>
      </w:r>
    </w:p>
    <w:p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ministrowi właściwemu do spraw rozwoju regionalnego, który wykonuje zadania państwa członkowskiego, ministrowi właściwemu do spraw finansów publicznych, wspólnemu sekretariatowi, koordynatorom programów Interreg, kontrolerom krajowym, instytucjom pośredniczącym, instytucjom wdrażającym, instytucjom pośredniczącym o ile niezbędne to będzie do realizacji ich zadań. 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7" w:right="1417" w:header="708" w:top="1418" w:footer="708" w:bottom="1417" w:gutter="0"/>
          <w:pgNumType w:fmt="decimal"/>
          <w:formProt w:val="false"/>
          <w:textDirection w:val="lrTb"/>
          <w:docGrid w:type="default" w:linePitch="360" w:charSpace="4096"/>
        </w:sect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Państwa dane osobowe nie są przetwarzane w sposób zautomatyzowany w celu podjęcia jakiejkolwiek decyzji oraz profilowania. 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Państwa dane osobowe nie są przekazywane poza Europejski Obszar Gospodarczy oraz do organizacji międzynarodowych. 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Państwa dane osobowe udostępnione zostały przez Miasto Poznań w zakresie niezbędnym do osiągniecia celów przetwarzania, lecz nie większym niż zakres o którym mowa w art. 87 ustawy wdrożeniowej 2021-2027 lub rozporządzeń PEiR UE 2021/1060, 2021/1056, 2021/1057. </w:t>
      </w:r>
    </w:p>
    <w:p>
      <w:pPr>
        <w:pStyle w:val="Normal"/>
        <w:jc w:val="both"/>
        <w:rPr>
          <w:sz w:val="15"/>
          <w:szCs w:val="13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3" wp14:anchorId="793AC305">
                <wp:simplePos x="0" y="0"/>
                <wp:positionH relativeFrom="page">
                  <wp:posOffset>899795</wp:posOffset>
                </wp:positionH>
                <wp:positionV relativeFrom="paragraph">
                  <wp:posOffset>266065</wp:posOffset>
                </wp:positionV>
                <wp:extent cx="1830070" cy="9525"/>
                <wp:effectExtent l="0" t="0" r="0" b="0"/>
                <wp:wrapTopAndBottom/>
                <wp:docPr id="2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black" stroked="f" style="position:absolute;margin-left:70.85pt;margin-top:20.95pt;width:144pt;height:0.65pt;mso-position-horizontal-relative:page" wp14:anchorId="793AC305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15"/>
          <w:szCs w:val="13"/>
        </w:rPr>
        <w:t xml:space="preserve">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Ustawa wdrożeniowa 2021-2027 – Ustawa z dnia 28 kwietnia 2022 r. o zasadach realizacji zadań finansowanych ze środków europejskich w perspektywie finansowej 2021-2027. </w:t>
      </w:r>
    </w:p>
    <w:p>
      <w:pPr>
        <w:pStyle w:val="Normal"/>
        <w:jc w:val="both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** Rozporządzenia PEiR UE 2021/1060, 2021/1056, 2021/1057 – odpowiednio: ROZPORZĄDZENIE PARLAMENTU EUROPEJSKIEGO I RADY (UE)</w:t>
      </w:r>
      <w:r>
        <w:rPr>
          <w:rFonts w:cs="Calibri" w:cstheme="minorHAnsi"/>
          <w:spacing w:val="28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2021/1060 z</w:t>
      </w:r>
      <w:r>
        <w:rPr>
          <w:rFonts w:cs="Calibri" w:cstheme="minorHAnsi"/>
          <w:spacing w:val="-13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dnia</w:t>
      </w:r>
      <w:r>
        <w:rPr>
          <w:rFonts w:cs="Calibri" w:cstheme="minorHAnsi"/>
          <w:spacing w:val="-10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24</w:t>
      </w:r>
      <w:r>
        <w:rPr>
          <w:rFonts w:cs="Calibri" w:cstheme="minorHAnsi"/>
          <w:spacing w:val="-12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czerwca</w:t>
      </w:r>
      <w:r>
        <w:rPr>
          <w:rFonts w:cs="Calibri" w:cstheme="minorHAnsi"/>
          <w:spacing w:val="-12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2021</w:t>
      </w:r>
      <w:r>
        <w:rPr>
          <w:rFonts w:cs="Calibri" w:cstheme="minorHAnsi"/>
          <w:spacing w:val="-11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r.</w:t>
      </w:r>
      <w:r>
        <w:rPr>
          <w:rFonts w:cs="Calibri" w:cstheme="minorHAnsi"/>
          <w:spacing w:val="-12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ustanawiające</w:t>
      </w:r>
      <w:r>
        <w:rPr>
          <w:rFonts w:cs="Calibri" w:cstheme="minorHAnsi"/>
          <w:spacing w:val="-13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wspólne</w:t>
      </w:r>
      <w:r>
        <w:rPr>
          <w:rFonts w:cs="Calibri" w:cstheme="minorHAnsi"/>
          <w:spacing w:val="-11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przepisy</w:t>
      </w:r>
      <w:r>
        <w:rPr>
          <w:rFonts w:cs="Calibri" w:cstheme="minorHAnsi"/>
          <w:spacing w:val="-11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dotyczące</w:t>
      </w:r>
      <w:r>
        <w:rPr>
          <w:rFonts w:cs="Calibri" w:cstheme="minorHAnsi"/>
          <w:spacing w:val="-10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Europejskiego</w:t>
      </w:r>
      <w:r>
        <w:rPr>
          <w:rFonts w:cs="Calibri" w:cstheme="minorHAnsi"/>
          <w:spacing w:val="-13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Funduszu</w:t>
      </w:r>
      <w:r>
        <w:rPr>
          <w:rFonts w:cs="Calibri" w:cstheme="minorHAnsi"/>
          <w:spacing w:val="-11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Rozwoju</w:t>
      </w:r>
      <w:r>
        <w:rPr>
          <w:rFonts w:cs="Calibri" w:cstheme="minorHAnsi"/>
          <w:spacing w:val="-11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Regionalnego,</w:t>
      </w:r>
      <w:r>
        <w:rPr>
          <w:rFonts w:cs="Calibri" w:cstheme="minorHAnsi"/>
          <w:spacing w:val="-12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Europejskiego</w:t>
      </w:r>
      <w:r>
        <w:rPr>
          <w:rFonts w:cs="Calibri" w:cstheme="minorHAnsi"/>
          <w:spacing w:val="-12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Funduszu</w:t>
      </w:r>
      <w:r>
        <w:rPr>
          <w:rFonts w:cs="Calibri" w:cstheme="minorHAnsi"/>
          <w:spacing w:val="-11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Społecznego Plus,</w:t>
      </w:r>
      <w:r>
        <w:rPr>
          <w:rFonts w:cs="Calibri" w:cstheme="minorHAnsi"/>
          <w:spacing w:val="-8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Funduszu</w:t>
      </w:r>
      <w:r>
        <w:rPr>
          <w:rFonts w:cs="Calibri" w:cstheme="minorHAnsi"/>
          <w:spacing w:val="-9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Spójności,</w:t>
      </w:r>
      <w:r>
        <w:rPr>
          <w:rFonts w:cs="Calibri" w:cstheme="minorHAnsi"/>
          <w:spacing w:val="-7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Funduszu</w:t>
      </w:r>
      <w:r>
        <w:rPr>
          <w:rFonts w:cs="Calibri" w:cstheme="minorHAnsi"/>
          <w:spacing w:val="-9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na</w:t>
      </w:r>
      <w:r>
        <w:rPr>
          <w:rFonts w:cs="Calibri" w:cstheme="minorHAnsi"/>
          <w:spacing w:val="-8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rzecz</w:t>
      </w:r>
      <w:r>
        <w:rPr>
          <w:rFonts w:cs="Calibri" w:cstheme="minorHAnsi"/>
          <w:spacing w:val="-7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Sprawiedliwej</w:t>
      </w:r>
      <w:r>
        <w:rPr>
          <w:rFonts w:cs="Calibri" w:cstheme="minorHAnsi"/>
          <w:spacing w:val="-8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Transformacji</w:t>
      </w:r>
      <w:r>
        <w:rPr>
          <w:rFonts w:cs="Calibri" w:cstheme="minorHAnsi"/>
          <w:spacing w:val="-9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i</w:t>
      </w:r>
      <w:r>
        <w:rPr>
          <w:rFonts w:cs="Calibri" w:cstheme="minorHAnsi"/>
          <w:spacing w:val="-6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Europejskiego</w:t>
      </w:r>
      <w:r>
        <w:rPr>
          <w:rFonts w:cs="Calibri" w:cstheme="minorHAnsi"/>
          <w:spacing w:val="-9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Funduszu</w:t>
      </w:r>
      <w:r>
        <w:rPr>
          <w:rFonts w:cs="Calibri" w:cstheme="minorHAnsi"/>
          <w:spacing w:val="-8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Morskiego,</w:t>
      </w:r>
      <w:r>
        <w:rPr>
          <w:rFonts w:cs="Calibri" w:cstheme="minorHAnsi"/>
          <w:spacing w:val="-8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Rybackiego</w:t>
      </w:r>
      <w:r>
        <w:rPr>
          <w:rFonts w:cs="Calibri" w:cstheme="minorHAnsi"/>
          <w:spacing w:val="-9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i</w:t>
      </w:r>
      <w:r>
        <w:rPr>
          <w:rFonts w:cs="Calibri" w:cstheme="minorHAnsi"/>
          <w:spacing w:val="-8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Akwakultury,</w:t>
      </w:r>
      <w:r>
        <w:rPr>
          <w:rFonts w:cs="Calibri" w:cstheme="minorHAnsi"/>
          <w:spacing w:val="-8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a</w:t>
      </w:r>
      <w:r>
        <w:rPr>
          <w:rFonts w:cs="Calibri" w:cstheme="minorHAnsi"/>
          <w:spacing w:val="-8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także</w:t>
      </w:r>
      <w:r>
        <w:rPr>
          <w:rFonts w:cs="Calibri" w:cstheme="minorHAnsi"/>
          <w:spacing w:val="-9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przepisy finansowe na potrzeby tych funduszy oraz na potrzeby Funduszu Azylu, Migracji i Integracji, Funduszu Bezpieczeństwa Wewnętrznego i Instrumentu Wsparcia</w:t>
      </w:r>
      <w:r>
        <w:rPr>
          <w:rFonts w:cs="Calibri" w:cstheme="minorHAnsi"/>
          <w:spacing w:val="-8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Finansowego</w:t>
      </w:r>
      <w:r>
        <w:rPr>
          <w:rFonts w:cs="Calibri" w:cstheme="minorHAnsi"/>
          <w:spacing w:val="-8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na</w:t>
      </w:r>
      <w:r>
        <w:rPr>
          <w:rFonts w:cs="Calibri" w:cstheme="minorHAnsi"/>
          <w:spacing w:val="-8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rzecz</w:t>
      </w:r>
      <w:r>
        <w:rPr>
          <w:rFonts w:cs="Calibri" w:cstheme="minorHAnsi"/>
          <w:spacing w:val="-9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Zarządzania</w:t>
      </w:r>
      <w:r>
        <w:rPr>
          <w:rFonts w:cs="Calibri" w:cstheme="minorHAnsi"/>
          <w:spacing w:val="-8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Granicami</w:t>
      </w:r>
      <w:r>
        <w:rPr>
          <w:rFonts w:cs="Calibri" w:cstheme="minorHAnsi"/>
          <w:spacing w:val="-8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i</w:t>
      </w:r>
      <w:r>
        <w:rPr>
          <w:rFonts w:cs="Calibri" w:cstheme="minorHAnsi"/>
          <w:spacing w:val="-8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Polityki</w:t>
      </w:r>
      <w:r>
        <w:rPr>
          <w:rFonts w:cs="Calibri" w:cstheme="minorHAnsi"/>
          <w:spacing w:val="-8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Wizowej.</w:t>
      </w:r>
      <w:r>
        <w:rPr>
          <w:rFonts w:cs="Calibri" w:cstheme="minorHAnsi"/>
          <w:spacing w:val="-6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ROZPORZĄDZENIE</w:t>
      </w:r>
      <w:r>
        <w:rPr>
          <w:rFonts w:cs="Calibri" w:cstheme="minorHAnsi"/>
          <w:spacing w:val="-7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PARLAMENTU</w:t>
      </w:r>
      <w:r>
        <w:rPr>
          <w:rFonts w:cs="Calibri" w:cstheme="minorHAnsi"/>
          <w:spacing w:val="-10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EUROPEJSKIEGO</w:t>
      </w:r>
      <w:r>
        <w:rPr>
          <w:rFonts w:cs="Calibri" w:cstheme="minorHAnsi"/>
          <w:spacing w:val="-8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I</w:t>
      </w:r>
      <w:r>
        <w:rPr>
          <w:rFonts w:cs="Calibri" w:cstheme="minorHAnsi"/>
          <w:spacing w:val="-7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RADY</w:t>
      </w:r>
      <w:r>
        <w:rPr>
          <w:rFonts w:cs="Calibri" w:cstheme="minorHAnsi"/>
          <w:spacing w:val="-7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(UE)</w:t>
      </w:r>
      <w:r>
        <w:rPr>
          <w:rFonts w:cs="Calibri" w:cstheme="minorHAnsi"/>
          <w:spacing w:val="-8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2021/1056</w:t>
      </w:r>
      <w:r>
        <w:rPr>
          <w:rFonts w:cs="Calibri" w:cstheme="minorHAnsi"/>
          <w:spacing w:val="-7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z</w:t>
      </w:r>
      <w:r>
        <w:rPr>
          <w:rFonts w:cs="Calibri" w:cstheme="minorHAnsi"/>
          <w:spacing w:val="-9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dnia 24</w:t>
      </w:r>
      <w:r>
        <w:rPr>
          <w:rFonts w:cs="Calibri" w:cstheme="minorHAnsi"/>
          <w:spacing w:val="-10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czerwca</w:t>
      </w:r>
      <w:r>
        <w:rPr>
          <w:rFonts w:cs="Calibri" w:cstheme="minorHAnsi"/>
          <w:spacing w:val="-10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2021</w:t>
      </w:r>
      <w:r>
        <w:rPr>
          <w:rFonts w:cs="Calibri" w:cstheme="minorHAnsi"/>
          <w:spacing w:val="-10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r.</w:t>
      </w:r>
      <w:r>
        <w:rPr>
          <w:rFonts w:cs="Calibri" w:cstheme="minorHAnsi"/>
          <w:spacing w:val="-9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ustanawiające</w:t>
      </w:r>
      <w:r>
        <w:rPr>
          <w:rFonts w:cs="Calibri" w:cstheme="minorHAnsi"/>
          <w:spacing w:val="-11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Fundusz</w:t>
      </w:r>
      <w:r>
        <w:rPr>
          <w:rFonts w:cs="Calibri" w:cstheme="minorHAnsi"/>
          <w:spacing w:val="-12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na</w:t>
      </w:r>
      <w:r>
        <w:rPr>
          <w:rFonts w:cs="Calibri" w:cstheme="minorHAnsi"/>
          <w:spacing w:val="-10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rzecz</w:t>
      </w:r>
      <w:r>
        <w:rPr>
          <w:rFonts w:cs="Calibri" w:cstheme="minorHAnsi"/>
          <w:spacing w:val="-10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Sprawiedliwej</w:t>
      </w:r>
      <w:r>
        <w:rPr>
          <w:rFonts w:cs="Calibri" w:cstheme="minorHAnsi"/>
          <w:spacing w:val="-10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Transformacji.</w:t>
      </w:r>
      <w:r>
        <w:rPr>
          <w:rFonts w:cs="Calibri" w:cstheme="minorHAnsi"/>
          <w:spacing w:val="-10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ROZPORZĄDZENIE</w:t>
      </w:r>
      <w:r>
        <w:rPr>
          <w:rFonts w:cs="Calibri" w:cstheme="minorHAnsi"/>
          <w:spacing w:val="-10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PARLAMENTU</w:t>
      </w:r>
      <w:r>
        <w:rPr>
          <w:rFonts w:cs="Calibri" w:cstheme="minorHAnsi"/>
          <w:spacing w:val="-10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EUROPEJSKIEGO</w:t>
      </w:r>
      <w:r>
        <w:rPr>
          <w:rFonts w:cs="Calibri" w:cstheme="minorHAnsi"/>
          <w:spacing w:val="-11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I</w:t>
      </w:r>
      <w:r>
        <w:rPr>
          <w:rFonts w:cs="Calibri" w:cstheme="minorHAnsi"/>
          <w:spacing w:val="-9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RADY</w:t>
      </w:r>
      <w:r>
        <w:rPr>
          <w:rFonts w:cs="Calibri" w:cstheme="minorHAnsi"/>
          <w:spacing w:val="-9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(UE)</w:t>
      </w:r>
      <w:r>
        <w:rPr>
          <w:rFonts w:cs="Calibri" w:cstheme="minorHAnsi"/>
          <w:spacing w:val="-11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2021/1057 z dnia 24 czerwca 2021 r. ustanawiające Europejski Fundusz Społeczny Plus (EFS+) oraz uchylające rozporządzenie (UE) nr</w:t>
      </w:r>
      <w:r>
        <w:rPr>
          <w:rFonts w:cs="Calibri" w:cstheme="minorHAnsi"/>
          <w:spacing w:val="-21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1296/2013.</w:t>
      </w:r>
    </w:p>
    <w:p>
      <w:pPr>
        <w:pStyle w:val="Normal"/>
        <w:rPr>
          <w:szCs w:val="16"/>
        </w:rPr>
      </w:pPr>
      <w:r>
        <w:rPr>
          <w:szCs w:val="16"/>
        </w:rPr>
      </w:r>
    </w:p>
    <w:p>
      <w:pPr>
        <w:pStyle w:val="Normal"/>
        <w:rPr>
          <w:szCs w:val="16"/>
        </w:rPr>
      </w:pPr>
      <w:r>
        <w:rPr>
          <w:szCs w:val="16"/>
        </w:rPr>
      </w:r>
    </w:p>
    <w:p>
      <w:pPr>
        <w:pStyle w:val="Normal"/>
        <w:rPr>
          <w:szCs w:val="16"/>
        </w:rPr>
      </w:pPr>
      <w:r>
        <w:rPr>
          <w:szCs w:val="16"/>
        </w:rPr>
      </w:r>
    </w:p>
    <w:p>
      <w:pPr>
        <w:pStyle w:val="Normal"/>
        <w:rPr>
          <w:szCs w:val="16"/>
        </w:rPr>
      </w:pPr>
      <w:r>
        <w:rPr>
          <w:szCs w:val="16"/>
        </w:rPr>
      </w:r>
    </w:p>
    <w:p>
      <w:pPr>
        <w:pStyle w:val="Normal"/>
        <w:rPr>
          <w:szCs w:val="16"/>
        </w:rPr>
      </w:pPr>
      <w:r>
        <w:rPr>
          <w:szCs w:val="16"/>
        </w:rPr>
        <w:t>Zapoznałem się z powyższym</w:t>
      </w:r>
    </w:p>
    <w:p>
      <w:pPr>
        <w:pStyle w:val="Normal"/>
        <w:rPr>
          <w:szCs w:val="16"/>
        </w:rPr>
      </w:pPr>
      <w:r>
        <w:rPr>
          <w:szCs w:val="16"/>
        </w:rPr>
      </w:r>
    </w:p>
    <w:p>
      <w:pPr>
        <w:pStyle w:val="Normal"/>
        <w:rPr>
          <w:szCs w:val="16"/>
        </w:rPr>
      </w:pPr>
      <w:r>
        <w:rPr>
          <w:szCs w:val="16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………………………………………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…………………………………………………………………………</w:t>
            </w:r>
          </w:p>
        </w:tc>
      </w:tr>
      <w:tr>
        <w:trPr/>
        <w:tc>
          <w:tcPr>
            <w:tcW w:w="453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u w:val="single"/>
              </w:rPr>
              <w:t>Czytelny podpis</w:t>
            </w:r>
            <w:r>
              <w:rPr/>
              <w:t xml:space="preserve"> uczestnika projektu lub rodzica/opiekuna prawnego (jeśli dotyczy)</w:t>
            </w:r>
          </w:p>
        </w:tc>
      </w:tr>
    </w:tbl>
    <w:p>
      <w:pPr>
        <w:pStyle w:val="Normal"/>
        <w:rPr>
          <w:szCs w:val="16"/>
        </w:rPr>
      </w:pPr>
      <w:r>
        <w:rPr>
          <w:szCs w:val="16"/>
        </w:rPr>
      </w:r>
    </w:p>
    <w:p>
      <w:pPr>
        <w:pStyle w:val="Normal"/>
        <w:rPr>
          <w:szCs w:val="16"/>
        </w:rPr>
      </w:pPr>
      <w:r>
        <w:rPr>
          <w:szCs w:val="16"/>
        </w:rPr>
      </w:r>
    </w:p>
    <w:p>
      <w:pPr>
        <w:pStyle w:val="Normal"/>
        <w:rPr>
          <w:szCs w:val="16"/>
        </w:rPr>
      </w:pPr>
      <w:r>
        <w:rPr>
          <w:szCs w:val="16"/>
        </w:rPr>
      </w:r>
    </w:p>
    <w:p>
      <w:pPr>
        <w:pStyle w:val="Normal"/>
        <w:rPr>
          <w:szCs w:val="16"/>
        </w:rPr>
      </w:pPr>
      <w:r>
        <w:rPr>
          <w:szCs w:val="16"/>
        </w:rPr>
      </w:r>
    </w:p>
    <w:p>
      <w:pPr>
        <w:pStyle w:val="Normal"/>
        <w:rPr>
          <w:szCs w:val="16"/>
        </w:rPr>
      </w:pPr>
      <w:r>
        <w:rPr>
          <w:szCs w:val="16"/>
        </w:rPr>
      </w:r>
    </w:p>
    <w:p>
      <w:pPr>
        <w:pStyle w:val="Normal"/>
        <w:rPr>
          <w:szCs w:val="16"/>
        </w:rPr>
      </w:pPr>
      <w:r>
        <w:rPr>
          <w:szCs w:val="16"/>
        </w:rPr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1418" w:top="1701" w:footer="1417" w:bottom="170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Carlito">
    <w:altName w:val="Calibri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222099991"/>
    </w:sdtPr>
    <w:sdtContent>
      <w:p>
        <w:pPr>
          <w:pStyle w:val="Stopka"/>
          <w:jc w:val="center"/>
          <w:rPr/>
        </w:pPr>
        <w:r>
          <w:rPr/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1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2</w:t>
        </w:r>
        <w:r>
          <w:rPr>
            <w:sz w:val="24"/>
            <w:b/>
            <w:szCs w:val="24"/>
            <w:bCs/>
          </w:rPr>
          <w:fldChar w:fldCharType="end"/>
        </w:r>
      </w:p>
      <w:p>
        <w:pPr>
          <w:pStyle w:val="Stopka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4445" distL="114300" distR="11430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-216535</wp:posOffset>
          </wp:positionV>
          <wp:extent cx="5458460" cy="586740"/>
          <wp:effectExtent l="0" t="0" r="0" b="0"/>
          <wp:wrapNone/>
          <wp:docPr id="1" name="Obraz 4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8460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72f6"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47a8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47a8d"/>
    <w:rPr/>
  </w:style>
  <w:style w:type="character" w:styleId="Strong">
    <w:name w:val="Strong"/>
    <w:basedOn w:val="DefaultParagraphFont"/>
    <w:uiPriority w:val="22"/>
    <w:qFormat/>
    <w:rsid w:val="0078251d"/>
    <w:rPr>
      <w:b/>
      <w:bCs/>
    </w:rPr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qFormat/>
    <w:rsid w:val="00843d92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843d9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semiHidden/>
    <w:unhideWhenUsed/>
    <w:rsid w:val="00d076f6"/>
    <w:rPr>
      <w:color w:val="0563C1" w:themeColor="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d076f6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076f6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a0c8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a0c8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a0c80"/>
    <w:rPr>
      <w:b/>
      <w:bCs/>
      <w:sz w:val="20"/>
      <w:szCs w:val="20"/>
    </w:rPr>
  </w:style>
  <w:style w:type="character" w:styleId="TekstpodstawowyZnak" w:customStyle="1">
    <w:name w:val="Tekst podstawowy Znak"/>
    <w:basedOn w:val="DefaultParagraphFont"/>
    <w:link w:val="Tekstpodstawowy"/>
    <w:uiPriority w:val="1"/>
    <w:qFormat/>
    <w:rsid w:val="00d372f6"/>
    <w:rPr>
      <w:rFonts w:ascii="Carlito" w:hAnsi="Carlito" w:eastAsia="Carlito" w:cs="Carlito"/>
      <w:sz w:val="20"/>
      <w:szCs w:val="2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d372f6"/>
    <w:pPr>
      <w:widowControl w:val="false"/>
      <w:spacing w:lineRule="auto" w:line="240" w:before="0" w:after="0"/>
    </w:pPr>
    <w:rPr>
      <w:rFonts w:ascii="Carlito" w:hAnsi="Carlito" w:eastAsia="Carlito" w:cs="Carlito"/>
      <w:sz w:val="20"/>
      <w:szCs w:val="20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link w:val="NagwekZnak"/>
    <w:uiPriority w:val="99"/>
    <w:unhideWhenUsed/>
    <w:rsid w:val="00e47a8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47a8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uiPriority w:val="34"/>
    <w:qFormat/>
    <w:rsid w:val="004f1656"/>
    <w:pPr>
      <w:spacing w:before="0" w:after="200"/>
      <w:ind w:left="720" w:hanging="0"/>
      <w:contextualSpacing/>
    </w:pPr>
    <w:rPr/>
  </w:style>
  <w:style w:type="paragraph" w:styleId="HTMLPreformatted">
    <w:name w:val="HTML Preformatted"/>
    <w:basedOn w:val="Normal"/>
    <w:link w:val="HTML-wstpniesformatowanyZnak"/>
    <w:uiPriority w:val="99"/>
    <w:unhideWhenUsed/>
    <w:qFormat/>
    <w:rsid w:val="00843d92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NoSpacing">
    <w:name w:val="No Spacing"/>
    <w:uiPriority w:val="99"/>
    <w:qFormat/>
    <w:rsid w:val="00843d9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l-PL" w:bidi="ar-SA"/>
    </w:rPr>
  </w:style>
  <w:style w:type="paragraph" w:styleId="Normalny1" w:customStyle="1">
    <w:name w:val="Normalny1"/>
    <w:qFormat/>
    <w:rsid w:val="00843d92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cs-CZ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f654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d076f6"/>
    <w:pPr>
      <w:spacing w:lineRule="auto" w:line="240" w:before="0" w:after="0"/>
    </w:pPr>
    <w:rPr>
      <w:sz w:val="20"/>
      <w:szCs w:val="20"/>
    </w:rPr>
  </w:style>
  <w:style w:type="paragraph" w:styleId="Default" w:customStyle="1">
    <w:name w:val="Default"/>
    <w:qFormat/>
    <w:rsid w:val="00d076f6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a0c8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0a0c8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825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6E32D-DF45-498A-9FC6-4C064C34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LibreOffice/6.0.6.2$Windows_x86 LibreOffice_project/0c292870b25a325b5ed35f6b45599d2ea4458e77</Application>
  <Pages>2</Pages>
  <Words>745</Words>
  <Characters>5132</Characters>
  <CharactersWithSpaces>5854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2025-05-21T06:16:00Z</dcterms:created>
  <dc:creator>Wiesława Groszczyk</dc:creator>
  <dc:description/>
  <dc:language>pl-PL</dc:language>
  <cp:lastModifiedBy>Justyna Juskowiak</cp:lastModifiedBy>
  <cp:lastPrinted>2023-10-06T14:12:00Z</cp:lastPrinted>
  <dcterms:modified xsi:type="dcterms:W3CDTF">2025-05-21T06:16:00Z</dcterms:modified>
  <cp:revision>2</cp:revision>
  <dc:subject/>
  <dc:title>ROPS-listownik-kolor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