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:rsidR="006475EF" w:rsidRPr="00BC78FC" w:rsidRDefault="00D92AE7" w:rsidP="006475EF">
      <w:pPr>
        <w:rPr>
          <w:rFonts w:eastAsia="Calibri"/>
        </w:rPr>
      </w:pPr>
      <w:r>
        <w:rPr>
          <w:rFonts w:eastAsia="Calibri"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</w:pic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:rsidR="006475EF" w:rsidRPr="00BC78FC" w:rsidRDefault="00D92AE7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18" o:spid="_x0000_s1046" type="#_x0000_t109" style="position:absolute;margin-left:22.15pt;margin-top:21.05pt;width:22.45pt;height:14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</w:pic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:rsidR="006475EF" w:rsidRPr="00BC78FC" w:rsidRDefault="00D92AE7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22" o:spid="_x0000_s1045" type="#_x0000_t109" style="position:absolute;margin-left:22.15pt;margin-top:21.2pt;width:22.45pt;height:1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</w:pic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:rsidR="006475EF" w:rsidRPr="00BC78FC" w:rsidRDefault="00D92AE7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20" o:spid="_x0000_s1044" type="#_x0000_t109" style="position:absolute;margin-left:22.15pt;margin-top:1.2pt;width:22.4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</w:pic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:rsidR="006475EF" w:rsidRPr="00BC78FC" w:rsidRDefault="00D92AE7" w:rsidP="006475EF">
      <w:pPr>
        <w:spacing w:line="240" w:lineRule="auto"/>
        <w:ind w:left="1416" w:hanging="816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32" o:spid="_x0000_s1043" type="#_x0000_t109" style="position:absolute;left:0;text-align:left;margin-left:21.45pt;margin-top:32.15pt;width:22.45pt;height:13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</w:pict>
      </w:r>
      <w:r>
        <w:rPr>
          <w:rFonts w:eastAsia="Calibri"/>
          <w:noProof/>
          <w:lang w:eastAsia="pl-PL"/>
        </w:rPr>
        <w:pict>
          <v:shape id="AutoShape 25" o:spid="_x0000_s1042" type="#_x0000_t109" style="position:absolute;left:0;text-align:left;margin-left:22.15pt;margin-top:3.35pt;width:22.45pt;height:14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</w:pic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D92AE7" w:rsidRPr="00D92AE7">
        <w:rPr>
          <w:rFonts w:eastAsia="Calibri"/>
          <w:noProof/>
          <w:lang w:eastAsia="pl-PL"/>
        </w:rPr>
        <w:pict>
          <v:shape id="Schemat blokowy: proces 3" o:spid="_x0000_s1041" type="#_x0000_t109" style="position:absolute;margin-left:131.4pt;margin-top:19.2pt;width:29pt;height:20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</w:pict>
      </w:r>
    </w:p>
    <w:p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p w:rsidR="006475EF" w:rsidRPr="00BC78FC" w:rsidRDefault="00D92AE7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2" w:name="_Ref442869264"/>
      <w:r>
        <w:rPr>
          <w:rFonts w:eastAsia="Calibri"/>
          <w:noProof/>
          <w:lang w:eastAsia="pl-PL"/>
        </w:rPr>
        <w:pict>
          <v:shape id="Schemat blokowy: proces 5" o:spid="_x0000_s1040" type="#_x0000_t109" style="position:absolute;left:0;text-align:left;margin-left:85.65pt;margin-top:30.5pt;width:29pt;height:20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9" type="#_x0000_t109" style="position:absolute;left:0;text-align:left;margin-left:355.65pt;margin-top:30.75pt;width:29pt;height:20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</w:pic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:rsidR="006D018F" w:rsidRPr="00BC78FC" w:rsidRDefault="00D92AE7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7" o:spid="_x0000_s1038" type="#_x0000_t109" style="position:absolute;left:0;text-align:left;margin-left:310.1pt;margin-top:-.3pt;width:29pt;height:20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</w:pic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:rsidR="006475EF" w:rsidRPr="00BC78FC" w:rsidRDefault="00D92AE7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7" type="#_x0000_t109" style="position:absolute;left:0;text-align:left;margin-left:310.45pt;margin-top:.6pt;width:29pt;height:20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</w:pict>
      </w:r>
      <w:r w:rsidR="006D018F"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="006D018F"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:rsidR="006475EF" w:rsidRPr="00BC78FC" w:rsidRDefault="00D92AE7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:rsidR="006475EF" w:rsidRPr="00BC78FC" w:rsidRDefault="00D92AE7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</w:pic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:rsidR="006475EF" w:rsidRPr="00BC78FC" w:rsidRDefault="00D92AE7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:rsidR="006475EF" w:rsidRPr="00BC78FC" w:rsidRDefault="00D92AE7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10.1pt;margin-top:20.6pt;width:29pt;height:20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:rsidR="00AA2917" w:rsidRDefault="00D92AE7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2" type="#_x0000_t109" style="position:absolute;left:0;text-align:left;margin-left:310.1pt;margin-top:3.95pt;width:29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</w:pic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:rsidR="006475EF" w:rsidRPr="00AA2917" w:rsidRDefault="00D92AE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4" o:spid="_x0000_s1031" type="#_x0000_t109" style="position:absolute;margin-left:310.1pt;margin-top:8.95pt;width:29pt;height:2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</w:pict>
      </w:r>
    </w:p>
    <w:p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:rsidR="00781D4C" w:rsidRPr="00BC78FC" w:rsidRDefault="00D92AE7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0" type="#_x0000_t109" style="position:absolute;left:0;text-align:left;margin-left:310.45pt;margin-top:.35pt;width:29pt;height:20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</w:pict>
      </w:r>
      <w:r w:rsidR="00781D4C" w:rsidRPr="00BC78FC">
        <w:rPr>
          <w:rFonts w:eastAsia="Calibri"/>
        </w:rPr>
        <w:t>liczba pozostałych osób</w:t>
      </w:r>
    </w:p>
    <w:p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:rsidR="006475EF" w:rsidRPr="00BC78FC" w:rsidRDefault="00D92AE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D92AE7"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.65pt;width:29pt;height:20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</w:pict>
      </w:r>
      <w:r w:rsidRPr="00D92AE7"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70.3pt;margin-top:.65pt;width:29pt;height:20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</w:pic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:rsidR="006475EF" w:rsidRPr="00BC78FC" w:rsidRDefault="00D92AE7" w:rsidP="006475EF">
      <w:pPr>
        <w:tabs>
          <w:tab w:val="left" w:pos="6695"/>
        </w:tabs>
        <w:spacing w:line="36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pt;width:454.4pt;height:58.2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</w:pic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B02D42" w:rsidRDefault="00B02D42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B02D42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 w:rsidP="00B02D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</w:p>
    <w:p w:rsidR="00A94652" w:rsidRPr="00A94652" w:rsidRDefault="00C63BC1" w:rsidP="0000763B">
      <w:pPr>
        <w:rPr>
          <w:rFonts w:asciiTheme="minorHAnsi" w:hAnsiTheme="minorHAnsi"/>
        </w:rPr>
      </w:pPr>
      <w:r>
        <w:rPr>
          <w:rFonts w:asciiTheme="minorHAnsi" w:hAnsiTheme="minorHAnsi"/>
        </w:rPr>
        <w:t>Gostycyn</w:t>
      </w:r>
      <w:r w:rsidR="002A2DFA" w:rsidRPr="002A2DFA">
        <w:rPr>
          <w:rFonts w:asciiTheme="minorHAnsi" w:hAnsiTheme="minorHAnsi"/>
        </w:rPr>
        <w:t>,</w:t>
      </w:r>
      <w:r w:rsidR="003B0C7B"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dnia………………………………</w:t>
      </w:r>
    </w:p>
    <w:p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sz w:val="21"/>
          <w:szCs w:val="21"/>
        </w:rPr>
        <w:lastRenderedPageBreak/>
        <w:t>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02D42" w:rsidRDefault="00B02D42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02D42" w:rsidRDefault="00B02D42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02D42" w:rsidRDefault="00B02D42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02D42" w:rsidRDefault="00B02D42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:rsidR="005F0B53" w:rsidRPr="009E4FCA" w:rsidRDefault="00B02D42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w Gminnym Ośrodku Pomocy Społecznej w Gostycynie</w:t>
      </w:r>
    </w:p>
    <w:p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B02D42">
        <w:rPr>
          <w:rFonts w:asciiTheme="minorHAnsi" w:hAnsiTheme="minorHAnsi" w:cstheme="minorHAnsi"/>
          <w:sz w:val="24"/>
          <w:szCs w:val="24"/>
          <w:lang w:eastAsia="pl-PL"/>
        </w:rPr>
        <w:t>Gminny Ośrodek Pomocy Społecznej w Gostycynie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</w:t>
      </w:r>
      <w:r w:rsidR="00B02D42">
        <w:rPr>
          <w:rFonts w:asciiTheme="minorHAnsi" w:hAnsiTheme="minorHAnsi" w:cstheme="minorHAnsi"/>
          <w:sz w:val="24"/>
          <w:szCs w:val="24"/>
          <w:lang w:eastAsia="pl-PL"/>
        </w:rPr>
        <w:t>przy ul. Sępoleńskiej 12a, 89-520 Gostycyn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5F0B53" w:rsidRPr="00B02D42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02D42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B02D42" w:rsidRPr="00B02D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10" w:history="1">
        <w:r w:rsidR="00B02D42" w:rsidRPr="00B02D4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pl-PL"/>
          </w:rPr>
          <w:t>iod@admin.com.pl</w:t>
        </w:r>
      </w:hyperlink>
      <w:r w:rsidR="00B02D42" w:rsidRPr="00B02D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02D42">
        <w:rPr>
          <w:rFonts w:asciiTheme="minorHAnsi" w:hAnsiTheme="minorHAnsi" w:cstheme="minorHAnsi"/>
          <w:sz w:val="24"/>
          <w:szCs w:val="24"/>
          <w:lang w:eastAsia="pl-PL"/>
        </w:rPr>
        <w:t xml:space="preserve">lub pisemnie na adres </w:t>
      </w:r>
      <w:r w:rsidR="00B02D42">
        <w:rPr>
          <w:rFonts w:asciiTheme="minorHAnsi" w:hAnsiTheme="minorHAnsi" w:cstheme="minorHAnsi"/>
          <w:sz w:val="24"/>
          <w:szCs w:val="24"/>
          <w:lang w:eastAsia="pl-PL"/>
        </w:rPr>
        <w:t>ul. Sępoleńska 12a, 89-520 Gostycyn.</w:t>
      </w: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3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3"/>
    </w:p>
    <w:p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1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A8" w:rsidRDefault="00FA54A8" w:rsidP="00523E77">
      <w:pPr>
        <w:spacing w:after="0" w:line="240" w:lineRule="auto"/>
      </w:pPr>
      <w:r>
        <w:separator/>
      </w:r>
    </w:p>
  </w:endnote>
  <w:endnote w:type="continuationSeparator" w:id="0">
    <w:p w:rsidR="00FA54A8" w:rsidRDefault="00FA54A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A8" w:rsidRDefault="00FA54A8" w:rsidP="00523E77">
      <w:pPr>
        <w:spacing w:after="0" w:line="240" w:lineRule="auto"/>
      </w:pPr>
      <w:r>
        <w:separator/>
      </w:r>
    </w:p>
  </w:footnote>
  <w:footnote w:type="continuationSeparator" w:id="0">
    <w:p w:rsidR="00FA54A8" w:rsidRDefault="00FA54A8" w:rsidP="00523E77">
      <w:pPr>
        <w:spacing w:after="0" w:line="240" w:lineRule="auto"/>
      </w:pPr>
      <w:r>
        <w:continuationSeparator/>
      </w:r>
    </w:p>
  </w:footnote>
  <w:footnote w:id="1">
    <w:p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2B4F96" w:rsidP="002B4F96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316F4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48E7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2D42"/>
    <w:rsid w:val="00B069BC"/>
    <w:rsid w:val="00B10B24"/>
    <w:rsid w:val="00B120FE"/>
    <w:rsid w:val="00B17077"/>
    <w:rsid w:val="00B17B5F"/>
    <w:rsid w:val="00B23077"/>
    <w:rsid w:val="00B443EE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63BC1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2AE7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54A8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admi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C425-0623-4053-9016-923E9875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mkrausa</cp:lastModifiedBy>
  <cp:revision>3</cp:revision>
  <cp:lastPrinted>2024-06-11T08:43:00Z</cp:lastPrinted>
  <dcterms:created xsi:type="dcterms:W3CDTF">2024-06-11T08:45:00Z</dcterms:created>
  <dcterms:modified xsi:type="dcterms:W3CDTF">2024-06-13T05:54:00Z</dcterms:modified>
</cp:coreProperties>
</file>